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FA5E" w14:textId="77777777" w:rsidR="005E12EC" w:rsidRDefault="005E12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1A78292F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3921"/>
        <w:gridCol w:w="521"/>
        <w:gridCol w:w="4235"/>
        <w:gridCol w:w="2858"/>
      </w:tblGrid>
      <w:tr w:rsidR="00E3145E" w:rsidRPr="005E12EC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54C7D7EE" w:rsidR="00CB73F9" w:rsidRPr="00CB73F9" w:rsidRDefault="00C465BB" w:rsidP="004D4D6B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  <w:r w:rsidR="009741C3">
              <w:rPr>
                <w:lang w:val="lv-LV"/>
              </w:rPr>
              <w:t>.</w:t>
            </w:r>
            <w:r w:rsidR="00D60A7B">
              <w:rPr>
                <w:lang w:val="lv-LV"/>
              </w:rPr>
              <w:t>12</w:t>
            </w:r>
            <w:r w:rsidR="00927FAA">
              <w:rPr>
                <w:lang w:val="lv-LV"/>
              </w:rPr>
              <w:t>.</w:t>
            </w:r>
            <w:r w:rsidR="00D60A7B">
              <w:rPr>
                <w:lang w:val="lv-LV"/>
              </w:rPr>
              <w:t>2023</w:t>
            </w:r>
            <w:r w:rsidR="00927FAA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0BDB6FA3" w14:textId="299B5C5F" w:rsidR="00CB73F9" w:rsidRPr="00CB73F9" w:rsidRDefault="005E12EC" w:rsidP="004D4D6B">
            <w:pPr>
              <w:rPr>
                <w:lang w:val="lv-LV"/>
              </w:rPr>
            </w:pPr>
            <w:r>
              <w:rPr>
                <w:lang w:val="lv-LV"/>
              </w:rPr>
              <w:t>Kristīne Zvejsalniece</w:t>
            </w:r>
            <w:r w:rsidR="00DD4BCA">
              <w:rPr>
                <w:lang w:val="lv-LV"/>
              </w:rPr>
              <w:t xml:space="preserve">, Valsts kancelejas Komunikācijas departamenta </w:t>
            </w:r>
            <w:r>
              <w:rPr>
                <w:lang w:val="lv-LV"/>
              </w:rPr>
              <w:t>konsultante</w:t>
            </w:r>
          </w:p>
        </w:tc>
      </w:tr>
      <w:tr w:rsidR="00E3145E" w:rsidRPr="004D7434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7CEB21A5" w:rsidR="00CB73F9" w:rsidRPr="00CB73F9" w:rsidRDefault="00E3145E" w:rsidP="004D4D6B">
            <w:pPr>
              <w:rPr>
                <w:lang w:val="lv-LV"/>
              </w:rPr>
            </w:pPr>
            <w:r>
              <w:rPr>
                <w:lang w:val="lv-LV"/>
              </w:rPr>
              <w:t>Valsts kanceleja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76192FDE" w:rsidR="00CB73F9" w:rsidRPr="00CB73F9" w:rsidRDefault="00DD4BCA" w:rsidP="004D4D6B">
            <w:pPr>
              <w:rPr>
                <w:lang w:val="lv-LV"/>
              </w:rPr>
            </w:pPr>
            <w:r>
              <w:rPr>
                <w:lang w:val="lv-LV"/>
              </w:rPr>
              <w:t>Mētra Aržanovska, Valsts kancelejas Komunikācijas departamenta konsultante</w:t>
            </w:r>
          </w:p>
        </w:tc>
      </w:tr>
      <w:tr w:rsidR="00E3145E" w:rsidRPr="005E12EC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6B7D978A" w:rsidR="00CB73F9" w:rsidRPr="003B4526" w:rsidRDefault="005E12EC" w:rsidP="00CB73F9">
            <w:pPr>
              <w:rPr>
                <w:lang w:val="lv-LV"/>
              </w:rPr>
            </w:pPr>
            <w:hyperlink r:id="rId11" w:history="1">
              <w:r w:rsidR="003B4526" w:rsidRPr="009163A5">
                <w:rPr>
                  <w:rStyle w:val="Hyperlink"/>
                  <w:lang w:val="lv-LV"/>
                </w:rPr>
                <w:t>https://www.valstskapitals.gov.lv/lv/</w:t>
              </w:r>
            </w:hyperlink>
            <w:r w:rsidR="003B4526">
              <w:rPr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72" w:type="pct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1204"/>
        <w:gridCol w:w="1206"/>
        <w:gridCol w:w="1028"/>
        <w:gridCol w:w="1118"/>
        <w:gridCol w:w="1117"/>
        <w:gridCol w:w="1117"/>
        <w:gridCol w:w="1117"/>
        <w:gridCol w:w="1165"/>
        <w:gridCol w:w="1277"/>
      </w:tblGrid>
      <w:tr w:rsidR="00CB73F9" w:rsidRPr="004D7434" w14:paraId="7593BCF0" w14:textId="77777777" w:rsidTr="003B4526">
        <w:tc>
          <w:tcPr>
            <w:tcW w:w="1980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276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992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204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5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77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3B102A" w14:paraId="0E97A2A2" w14:textId="77777777" w:rsidTr="003B4526">
        <w:tc>
          <w:tcPr>
            <w:tcW w:w="1980" w:type="dxa"/>
          </w:tcPr>
          <w:p w14:paraId="3FC4372D" w14:textId="4AB6253D" w:rsidR="00CB73F9" w:rsidRPr="00CB73F9" w:rsidRDefault="005E12EC" w:rsidP="004D4D6B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3B4526" w:rsidRPr="009163A5">
                <w:rPr>
                  <w:rStyle w:val="Hyperlink"/>
                  <w:sz w:val="18"/>
                  <w:szCs w:val="18"/>
                  <w:lang w:val="lv-LV"/>
                </w:rPr>
                <w:t>https://www.valstskapitals.gov.lv/lv/sabiedribas-lidzdaliba/vakances-kapitalsabiedribas/</w:t>
              </w:r>
            </w:hyperlink>
            <w:r w:rsidR="003B4526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14:paraId="65859A14" w14:textId="11319C92" w:rsidR="00CB73F9" w:rsidRPr="00CB73F9" w:rsidRDefault="00245D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5174DE36" w14:textId="4EB8598F" w:rsidR="00CB73F9" w:rsidRPr="00CB73F9" w:rsidRDefault="005F444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4" w:type="dxa"/>
          </w:tcPr>
          <w:p w14:paraId="0B7D9B82" w14:textId="2E7F13AE" w:rsidR="00CB73F9" w:rsidRPr="00CB73F9" w:rsidRDefault="001051A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6" w:type="dxa"/>
          </w:tcPr>
          <w:p w14:paraId="6CC36E31" w14:textId="2A4AEC78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20672ED6" w14:textId="26C40BA8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317C83E9" w14:textId="3D66A540" w:rsidR="00CB73F9" w:rsidRPr="00CB73F9" w:rsidRDefault="00A0345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0DD5604" w14:textId="038B70CD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1566E075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3B9BBB37" w14:textId="1CC7528A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5" w:type="dxa"/>
          </w:tcPr>
          <w:p w14:paraId="606A0638" w14:textId="50285D7C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7" w:type="dxa"/>
          </w:tcPr>
          <w:p w14:paraId="5E7D78FE" w14:textId="0526C4DE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3B4526">
        <w:tc>
          <w:tcPr>
            <w:tcW w:w="1980" w:type="dxa"/>
          </w:tcPr>
          <w:p w14:paraId="6A46EC14" w14:textId="0721D41A" w:rsidR="00CB73F9" w:rsidRPr="00CB73F9" w:rsidRDefault="005E12EC" w:rsidP="004D4D6B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3B4526" w:rsidRPr="009163A5">
                <w:rPr>
                  <w:rStyle w:val="Hyperlink"/>
                  <w:sz w:val="18"/>
                  <w:szCs w:val="18"/>
                  <w:lang w:val="lv-LV"/>
                </w:rPr>
                <w:t>https://www.valstskapitals.gov.lv/lv/</w:t>
              </w:r>
            </w:hyperlink>
            <w:r w:rsidR="003B4526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14:paraId="3DDBA331" w14:textId="208ACE4E" w:rsidR="00CB73F9" w:rsidRPr="00CB73F9" w:rsidRDefault="00245D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2E10662B" w14:textId="1150A9D4" w:rsidR="00CB73F9" w:rsidRPr="00CB73F9" w:rsidRDefault="005F444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4" w:type="dxa"/>
          </w:tcPr>
          <w:p w14:paraId="462C5185" w14:textId="5C22BDDF" w:rsidR="00CB73F9" w:rsidRPr="00CB73F9" w:rsidRDefault="001051A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6" w:type="dxa"/>
          </w:tcPr>
          <w:p w14:paraId="2D402340" w14:textId="77898F8A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1095101D" w14:textId="4A000678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4197F569" w14:textId="25DE6A2F" w:rsidR="00CB73F9" w:rsidRPr="00CB73F9" w:rsidRDefault="00A0345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DAEA4EB" w14:textId="6029CF95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6BD98D6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A8E1466" w14:textId="25B62B29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5" w:type="dxa"/>
          </w:tcPr>
          <w:p w14:paraId="57B1543C" w14:textId="4F30B917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48F97111" w14:textId="3B5B248F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3B4526">
        <w:tc>
          <w:tcPr>
            <w:tcW w:w="1980" w:type="dxa"/>
          </w:tcPr>
          <w:p w14:paraId="7A8C2395" w14:textId="2C87E2C0" w:rsidR="00CB73F9" w:rsidRPr="00CB73F9" w:rsidRDefault="005E12EC" w:rsidP="004D4D6B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3B4526" w:rsidRPr="009163A5">
                <w:rPr>
                  <w:rStyle w:val="Hyperlink"/>
                  <w:sz w:val="18"/>
                  <w:szCs w:val="18"/>
                  <w:lang w:val="lv-LV"/>
                </w:rPr>
                <w:t>https://www.valstskapitals.gov.lv/lv/vadlinijas/</w:t>
              </w:r>
            </w:hyperlink>
            <w:r w:rsidR="003B4526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14:paraId="6D3DF7C6" w14:textId="081939E4" w:rsidR="00CB73F9" w:rsidRPr="00CB73F9" w:rsidRDefault="00245D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7D574F74" w14:textId="5E8FEC8D" w:rsidR="00CB73F9" w:rsidRPr="00CB73F9" w:rsidRDefault="005F444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4" w:type="dxa"/>
          </w:tcPr>
          <w:p w14:paraId="198FFDF8" w14:textId="3BDAEEAD" w:rsidR="00CB73F9" w:rsidRPr="00CB73F9" w:rsidRDefault="001051A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6" w:type="dxa"/>
          </w:tcPr>
          <w:p w14:paraId="440ECB11" w14:textId="0EF5267B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069118F5" w14:textId="45EE808C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077710F3" w14:textId="609C500F" w:rsidR="00CB73F9" w:rsidRPr="00CB73F9" w:rsidRDefault="00A0345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DD1F89D" w14:textId="3F0D793F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529D0349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3A10B0A1" w14:textId="58A2921E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5" w:type="dxa"/>
          </w:tcPr>
          <w:p w14:paraId="2D54F5B8" w14:textId="64DA6397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2F635688" w14:textId="3296465C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3B4526">
        <w:tc>
          <w:tcPr>
            <w:tcW w:w="1980" w:type="dxa"/>
          </w:tcPr>
          <w:p w14:paraId="18730E10" w14:textId="5CA6A1DA" w:rsidR="00CB73F9" w:rsidRPr="003B4526" w:rsidRDefault="005E12EC" w:rsidP="004D4D6B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3B4526" w:rsidRPr="003B4526">
                <w:rPr>
                  <w:rStyle w:val="Hyperlink"/>
                  <w:sz w:val="18"/>
                  <w:szCs w:val="18"/>
                </w:rPr>
                <w:t>https://www.valstskapitals.gov.lv/lv/valsts-kapitalsabiedribas-un-kapitala-dalas/valsts-kapitalsabiedribas-un-kapitala-dalas/</w:t>
              </w:r>
            </w:hyperlink>
            <w:r w:rsidR="003B4526" w:rsidRPr="003B45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0EF495E" w14:textId="4ACE921B" w:rsidR="00CB73F9" w:rsidRPr="00CB73F9" w:rsidRDefault="00245D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46DE4E8D" w14:textId="5272C273" w:rsidR="00CB73F9" w:rsidRPr="00CB73F9" w:rsidRDefault="005F444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4" w:type="dxa"/>
          </w:tcPr>
          <w:p w14:paraId="597841ED" w14:textId="59033472" w:rsidR="00CB73F9" w:rsidRPr="00CB73F9" w:rsidRDefault="001051A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6" w:type="dxa"/>
          </w:tcPr>
          <w:p w14:paraId="7585FE9B" w14:textId="2A5EA1EA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30857486" w14:textId="7E050CA5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0AD40808" w14:textId="67B8381F" w:rsidR="00CB73F9" w:rsidRPr="00CB73F9" w:rsidRDefault="00A0345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44DC19" w14:textId="02F131DE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6C93F48A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6CACA3CF" w14:textId="6FCC7B03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5" w:type="dxa"/>
          </w:tcPr>
          <w:p w14:paraId="36153F9D" w14:textId="292B8986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68364BAA" w14:textId="4A160B0B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3B4526">
        <w:tc>
          <w:tcPr>
            <w:tcW w:w="1980" w:type="dxa"/>
          </w:tcPr>
          <w:p w14:paraId="09473C62" w14:textId="6BB9C639" w:rsidR="00CB73F9" w:rsidRPr="00CB73F9" w:rsidRDefault="005E12EC" w:rsidP="004D4D6B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3B4526" w:rsidRPr="009163A5">
                <w:rPr>
                  <w:rStyle w:val="Hyperlink"/>
                  <w:sz w:val="18"/>
                  <w:szCs w:val="18"/>
                  <w:lang w:val="lv-LV"/>
                </w:rPr>
                <w:t>https://www.valstskapitals.gov.lv/lv/datu-bazes-un-gada-parskati/gada-parskati/</w:t>
              </w:r>
            </w:hyperlink>
            <w:r w:rsidR="003B4526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14:paraId="0CE42411" w14:textId="71C7EB13" w:rsidR="00CB73F9" w:rsidRPr="00CB73F9" w:rsidRDefault="00245D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274856F3" w14:textId="179A9ED4" w:rsidR="00CB73F9" w:rsidRPr="00CB73F9" w:rsidRDefault="005F444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4" w:type="dxa"/>
          </w:tcPr>
          <w:p w14:paraId="1D3C79A7" w14:textId="6AFFCBD5" w:rsidR="00CB73F9" w:rsidRPr="00CB73F9" w:rsidRDefault="001051A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06" w:type="dxa"/>
          </w:tcPr>
          <w:p w14:paraId="3413B92F" w14:textId="5372FB71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73B41EC8" w14:textId="22C31B17" w:rsidR="00CB73F9" w:rsidRPr="00CB73F9" w:rsidRDefault="00DE535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8" w:type="dxa"/>
          </w:tcPr>
          <w:p w14:paraId="600DCF46" w14:textId="214DF3F3" w:rsidR="00CB73F9" w:rsidRPr="00CB73F9" w:rsidRDefault="00A0345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CD58A92" w14:textId="7A12CC2A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31936FE" w:rsidR="00CB73F9" w:rsidRPr="00CB73F9" w:rsidRDefault="006F0F3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4C27B59D" w14:textId="1298146F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5" w:type="dxa"/>
          </w:tcPr>
          <w:p w14:paraId="2A6F17D6" w14:textId="0647A237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7" w:type="dxa"/>
          </w:tcPr>
          <w:p w14:paraId="02F23161" w14:textId="4AB273BF" w:rsidR="00CB73F9" w:rsidRPr="00CB73F9" w:rsidRDefault="00FF62A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673385D5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lastRenderedPageBreak/>
        <w:t xml:space="preserve">Aizpildot tabulu, rīkoties šādi: 1) ja pārbaudāmais elements atbilst noteiktajām piekļūstamības prasībām, atzīmējiet tabulā konkrētajā ailē “Atbilst”; </w:t>
      </w:r>
      <w:r w:rsidR="00C8112A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36FD5D68" w:rsidR="00CB73F9" w:rsidRDefault="00074CB7" w:rsidP="00CB73F9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  <w:r w:rsidRPr="00074CB7">
        <w:rPr>
          <w:rFonts w:cstheme="minorHAnsi"/>
          <w:b/>
          <w:bCs/>
          <w:lang w:val="lv-LV"/>
        </w:rPr>
        <w:t>Komentāri:</w:t>
      </w:r>
      <w:r w:rsidR="00245D9A">
        <w:rPr>
          <w:rFonts w:cstheme="minorHAnsi"/>
          <w:b/>
          <w:bCs/>
          <w:lang w:val="lv-LV"/>
        </w:rPr>
        <w:t xml:space="preserve"> </w:t>
      </w:r>
    </w:p>
    <w:p w14:paraId="08CFC022" w14:textId="7D88B26A" w:rsidR="00074CB7" w:rsidRDefault="00245D9A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 w:rsidRPr="00245D9A">
        <w:rPr>
          <w:rFonts w:cstheme="minorHAnsi"/>
          <w:lang w:val="lv-LV"/>
        </w:rPr>
        <w:t xml:space="preserve">Mājaslapu nav iespējams izmantot bez peles. </w:t>
      </w:r>
      <w:r>
        <w:rPr>
          <w:rFonts w:cstheme="minorHAnsi"/>
          <w:lang w:val="lv-LV"/>
        </w:rPr>
        <w:t>Nav nolasāmi</w:t>
      </w:r>
      <w:r w:rsidRPr="00245D9A">
        <w:rPr>
          <w:rFonts w:cstheme="minorHAnsi"/>
          <w:lang w:val="lv-LV"/>
        </w:rPr>
        <w:t xml:space="preserve"> galvenās navigācijas elementi, </w:t>
      </w:r>
      <w:r>
        <w:rPr>
          <w:rFonts w:cstheme="minorHAnsi"/>
          <w:lang w:val="lv-LV"/>
        </w:rPr>
        <w:t>nav</w:t>
      </w:r>
      <w:r w:rsidRPr="00245D9A">
        <w:rPr>
          <w:rFonts w:cstheme="minorHAnsi"/>
          <w:lang w:val="lv-LV"/>
        </w:rPr>
        <w:t xml:space="preserve"> aprakstīta apakšnavigāciju izvēlne</w:t>
      </w:r>
      <w:r w:rsidR="008C1C2E">
        <w:rPr>
          <w:rFonts w:cstheme="minorHAnsi"/>
          <w:lang w:val="lv-LV"/>
        </w:rPr>
        <w:t xml:space="preserve">, </w:t>
      </w:r>
      <w:r>
        <w:rPr>
          <w:rFonts w:cstheme="minorHAnsi"/>
          <w:lang w:val="lv-LV"/>
        </w:rPr>
        <w:t xml:space="preserve">tām nevar piekļūt. </w:t>
      </w:r>
      <w:r w:rsidR="005F4445">
        <w:rPr>
          <w:rFonts w:cstheme="minorHAnsi"/>
          <w:lang w:val="lv-LV"/>
        </w:rPr>
        <w:t xml:space="preserve"> N</w:t>
      </w:r>
      <w:r w:rsidR="005F4445" w:rsidRPr="005F4445">
        <w:rPr>
          <w:rFonts w:cstheme="minorHAnsi"/>
          <w:lang w:val="lv-LV"/>
        </w:rPr>
        <w:t xml:space="preserve">avigācijas elementi </w:t>
      </w:r>
      <w:r w:rsidR="005F4445">
        <w:rPr>
          <w:rFonts w:cstheme="minorHAnsi"/>
          <w:lang w:val="lv-LV"/>
        </w:rPr>
        <w:t>nav</w:t>
      </w:r>
      <w:r w:rsidR="005F4445" w:rsidRPr="005F4445">
        <w:rPr>
          <w:rFonts w:cstheme="minorHAnsi"/>
          <w:lang w:val="lv-LV"/>
        </w:rPr>
        <w:t xml:space="preserve"> fokusēti jeb iezīmēti</w:t>
      </w:r>
      <w:r w:rsidR="005F4445">
        <w:rPr>
          <w:rFonts w:cstheme="minorHAnsi"/>
          <w:lang w:val="lv-LV"/>
        </w:rPr>
        <w:t xml:space="preserve">, </w:t>
      </w:r>
      <w:r w:rsidR="005F4445" w:rsidRPr="005F4445">
        <w:rPr>
          <w:rFonts w:cstheme="minorHAnsi"/>
          <w:lang w:val="lv-LV"/>
        </w:rPr>
        <w:t xml:space="preserve">lietotājs </w:t>
      </w:r>
      <w:r w:rsidR="005F4445">
        <w:rPr>
          <w:rFonts w:cstheme="minorHAnsi"/>
          <w:lang w:val="lv-LV"/>
        </w:rPr>
        <w:t>nesaprot,</w:t>
      </w:r>
      <w:r w:rsidR="005F4445" w:rsidRPr="005F4445">
        <w:rPr>
          <w:rFonts w:cstheme="minorHAnsi"/>
          <w:lang w:val="lv-LV"/>
        </w:rPr>
        <w:t xml:space="preserve"> kur tieši tīmekļvietnē viņš atrodas.</w:t>
      </w:r>
    </w:p>
    <w:p w14:paraId="003192A2" w14:textId="551F6D94" w:rsidR="00DE535E" w:rsidRDefault="00DE535E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Nav iespējams piekļūt meklētājam ar TAB taustiņu. </w:t>
      </w:r>
    </w:p>
    <w:p w14:paraId="31BBA999" w14:textId="4A0BE231" w:rsidR="00DE535E" w:rsidRDefault="00DE535E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Attēliem nav</w:t>
      </w:r>
      <w:r w:rsidRPr="00DE535E">
        <w:rPr>
          <w:rFonts w:cstheme="minorHAnsi"/>
          <w:lang w:val="lv-LV"/>
        </w:rPr>
        <w:t xml:space="preserve"> tekstuālā alternatīva jeb tā dēvētie ALT teksti.</w:t>
      </w:r>
    </w:p>
    <w:p w14:paraId="44F15D2C" w14:textId="795F4E44" w:rsidR="00A03458" w:rsidRDefault="00A03458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T</w:t>
      </w:r>
      <w:r w:rsidRPr="00A03458">
        <w:rPr>
          <w:rFonts w:cstheme="minorHAnsi"/>
          <w:lang w:val="lv-LV"/>
        </w:rPr>
        <w:t xml:space="preserve">īmekļvietnes strukturējumā </w:t>
      </w:r>
      <w:r>
        <w:rPr>
          <w:rFonts w:cstheme="minorHAnsi"/>
          <w:lang w:val="lv-LV"/>
        </w:rPr>
        <w:t>nav</w:t>
      </w:r>
      <w:r w:rsidRPr="00A03458">
        <w:rPr>
          <w:rFonts w:cstheme="minorHAnsi"/>
          <w:lang w:val="lv-LV"/>
        </w:rPr>
        <w:t xml:space="preserve"> uzskaitīti visi virsraksti.</w:t>
      </w:r>
    </w:p>
    <w:p w14:paraId="584A760C" w14:textId="3B0F3C8E" w:rsidR="006F0F36" w:rsidRDefault="006F0F36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Datorskatā palielinot lapu nav iespējams piekļūt visām izvēlnēm. No mobilās ierīces mājaslapu nevar pietuvināt. </w:t>
      </w:r>
    </w:p>
    <w:p w14:paraId="5292E914" w14:textId="2BF6A00C" w:rsidR="00FF62AE" w:rsidRDefault="00FF62AE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Lapu nosaukumi nav unikāli.</w:t>
      </w:r>
    </w:p>
    <w:p w14:paraId="7D64688D" w14:textId="76D0EDFC" w:rsidR="00FF62AE" w:rsidRPr="00245D9A" w:rsidRDefault="00FF62AE" w:rsidP="00D02C82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K</w:t>
      </w:r>
      <w:r w:rsidRPr="00FF62AE">
        <w:rPr>
          <w:rFonts w:cstheme="minorHAnsi"/>
          <w:lang w:val="lv-LV"/>
        </w:rPr>
        <w:t xml:space="preserve">ustīgos elementus </w:t>
      </w:r>
      <w:r>
        <w:rPr>
          <w:rFonts w:cstheme="minorHAnsi"/>
          <w:lang w:val="lv-LV"/>
        </w:rPr>
        <w:t>ne</w:t>
      </w:r>
      <w:r w:rsidRPr="00FF62AE">
        <w:rPr>
          <w:rFonts w:cstheme="minorHAnsi"/>
          <w:lang w:val="lv-LV"/>
        </w:rPr>
        <w:t>var apturēt vai nopauzēt</w:t>
      </w:r>
      <w:r>
        <w:rPr>
          <w:rFonts w:cstheme="minorHAnsi"/>
          <w:lang w:val="lv-LV"/>
        </w:rPr>
        <w:t>.</w:t>
      </w:r>
    </w:p>
    <w:p w14:paraId="474A4437" w14:textId="53BD4FB7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</w:t>
      </w:r>
      <w:r w:rsidR="00D94754">
        <w:rPr>
          <w:rFonts w:cstheme="minorHAnsi"/>
          <w:lang w:val="lv-LV"/>
        </w:rPr>
        <w:t>Jānis Citskovskis, Valsts kancelejas direktors</w:t>
      </w:r>
      <w:r w:rsidRPr="00CB73F9">
        <w:rPr>
          <w:rFonts w:cstheme="minorHAnsi"/>
          <w:lang w:val="lv-LV"/>
        </w:rPr>
        <w:t>):</w:t>
      </w:r>
      <w:r w:rsidRPr="00CB73F9">
        <w:rPr>
          <w:lang w:val="lv-LV"/>
        </w:rPr>
        <w:t xml:space="preserve">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45353" w14:textId="77777777" w:rsidR="000770AF" w:rsidRDefault="000770AF" w:rsidP="001D0122">
      <w:pPr>
        <w:spacing w:after="0" w:line="240" w:lineRule="auto"/>
      </w:pPr>
      <w:r>
        <w:separator/>
      </w:r>
    </w:p>
  </w:endnote>
  <w:endnote w:type="continuationSeparator" w:id="0">
    <w:p w14:paraId="2CAE3ADF" w14:textId="77777777" w:rsidR="000770AF" w:rsidRDefault="000770AF" w:rsidP="001D0122">
      <w:pPr>
        <w:spacing w:after="0" w:line="240" w:lineRule="auto"/>
      </w:pPr>
      <w:r>
        <w:continuationSeparator/>
      </w:r>
    </w:p>
  </w:endnote>
  <w:endnote w:type="continuationNotice" w:id="1">
    <w:p w14:paraId="513F4292" w14:textId="77777777" w:rsidR="000770AF" w:rsidRDefault="00077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39DE" w14:textId="77777777" w:rsidR="000770AF" w:rsidRDefault="000770AF" w:rsidP="001D0122">
      <w:pPr>
        <w:spacing w:after="0" w:line="240" w:lineRule="auto"/>
      </w:pPr>
      <w:r>
        <w:separator/>
      </w:r>
    </w:p>
  </w:footnote>
  <w:footnote w:type="continuationSeparator" w:id="0">
    <w:p w14:paraId="7D285215" w14:textId="77777777" w:rsidR="000770AF" w:rsidRDefault="000770AF" w:rsidP="001D0122">
      <w:pPr>
        <w:spacing w:after="0" w:line="240" w:lineRule="auto"/>
      </w:pPr>
      <w:r>
        <w:continuationSeparator/>
      </w:r>
    </w:p>
  </w:footnote>
  <w:footnote w:type="continuationNotice" w:id="1">
    <w:p w14:paraId="0C365614" w14:textId="77777777" w:rsidR="000770AF" w:rsidRDefault="000770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70A6A"/>
    <w:multiLevelType w:val="hybridMultilevel"/>
    <w:tmpl w:val="B6BA7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8"/>
  </w:num>
  <w:num w:numId="17">
    <w:abstractNumId w:val="46"/>
  </w:num>
  <w:num w:numId="18">
    <w:abstractNumId w:val="22"/>
  </w:num>
  <w:num w:numId="19">
    <w:abstractNumId w:val="11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6"/>
  </w:num>
  <w:num w:numId="28">
    <w:abstractNumId w:val="52"/>
  </w:num>
  <w:num w:numId="29">
    <w:abstractNumId w:val="20"/>
  </w:num>
  <w:num w:numId="30">
    <w:abstractNumId w:val="2"/>
  </w:num>
  <w:num w:numId="31">
    <w:abstractNumId w:val="50"/>
  </w:num>
  <w:num w:numId="32">
    <w:abstractNumId w:val="23"/>
  </w:num>
  <w:num w:numId="33">
    <w:abstractNumId w:val="62"/>
  </w:num>
  <w:num w:numId="34">
    <w:abstractNumId w:val="49"/>
  </w:num>
  <w:num w:numId="35">
    <w:abstractNumId w:val="10"/>
  </w:num>
  <w:num w:numId="36">
    <w:abstractNumId w:val="1"/>
  </w:num>
  <w:num w:numId="37">
    <w:abstractNumId w:val="57"/>
  </w:num>
  <w:num w:numId="38">
    <w:abstractNumId w:val="12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4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3"/>
  </w:num>
  <w:num w:numId="51">
    <w:abstractNumId w:val="35"/>
  </w:num>
  <w:num w:numId="52">
    <w:abstractNumId w:val="42"/>
  </w:num>
  <w:num w:numId="53">
    <w:abstractNumId w:val="15"/>
  </w:num>
  <w:num w:numId="54">
    <w:abstractNumId w:val="43"/>
  </w:num>
  <w:num w:numId="55">
    <w:abstractNumId w:val="19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9"/>
  </w:num>
  <w:num w:numId="63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4CB7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041D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1A8"/>
    <w:rsid w:val="00105573"/>
    <w:rsid w:val="0010581A"/>
    <w:rsid w:val="0010610F"/>
    <w:rsid w:val="00111336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72F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C18DF"/>
    <w:rsid w:val="001C2EBE"/>
    <w:rsid w:val="001C3E1A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45D9A"/>
    <w:rsid w:val="00250A5E"/>
    <w:rsid w:val="00250CE5"/>
    <w:rsid w:val="00250D3B"/>
    <w:rsid w:val="00253FB9"/>
    <w:rsid w:val="00256A35"/>
    <w:rsid w:val="00261673"/>
    <w:rsid w:val="00263987"/>
    <w:rsid w:val="002640B2"/>
    <w:rsid w:val="002650F9"/>
    <w:rsid w:val="00265BE8"/>
    <w:rsid w:val="00271ABF"/>
    <w:rsid w:val="002727B1"/>
    <w:rsid w:val="00273BD2"/>
    <w:rsid w:val="0027477C"/>
    <w:rsid w:val="00276000"/>
    <w:rsid w:val="002768D7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02A"/>
    <w:rsid w:val="003B12C0"/>
    <w:rsid w:val="003B38E7"/>
    <w:rsid w:val="003B3B5E"/>
    <w:rsid w:val="003B4526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0FD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67E4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D13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12EC"/>
    <w:rsid w:val="005E5C5A"/>
    <w:rsid w:val="005E69FD"/>
    <w:rsid w:val="005F0E0A"/>
    <w:rsid w:val="005F2980"/>
    <w:rsid w:val="005F387A"/>
    <w:rsid w:val="005F4445"/>
    <w:rsid w:val="005F48FA"/>
    <w:rsid w:val="005F52EF"/>
    <w:rsid w:val="005F6C2E"/>
    <w:rsid w:val="00601C84"/>
    <w:rsid w:val="00602A45"/>
    <w:rsid w:val="00602E2F"/>
    <w:rsid w:val="0060460B"/>
    <w:rsid w:val="00606303"/>
    <w:rsid w:val="00612049"/>
    <w:rsid w:val="006137B9"/>
    <w:rsid w:val="00613C64"/>
    <w:rsid w:val="00614195"/>
    <w:rsid w:val="0061450A"/>
    <w:rsid w:val="006145C2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404D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E6E2E"/>
    <w:rsid w:val="006F0720"/>
    <w:rsid w:val="006F0F36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E71C4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39F7"/>
    <w:rsid w:val="008B511F"/>
    <w:rsid w:val="008B70DB"/>
    <w:rsid w:val="008C1C2E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27FAA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41C3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458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65BB"/>
    <w:rsid w:val="00C47FC2"/>
    <w:rsid w:val="00C540CE"/>
    <w:rsid w:val="00C54114"/>
    <w:rsid w:val="00C54EE9"/>
    <w:rsid w:val="00C65682"/>
    <w:rsid w:val="00C66B8C"/>
    <w:rsid w:val="00C72272"/>
    <w:rsid w:val="00C7666D"/>
    <w:rsid w:val="00C779CE"/>
    <w:rsid w:val="00C77E29"/>
    <w:rsid w:val="00C8080E"/>
    <w:rsid w:val="00C80F6B"/>
    <w:rsid w:val="00C8112A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5AB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CF6298"/>
    <w:rsid w:val="00D015D9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0A7B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4754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D4BCA"/>
    <w:rsid w:val="00DE09CF"/>
    <w:rsid w:val="00DE2890"/>
    <w:rsid w:val="00DE3CA1"/>
    <w:rsid w:val="00DE535E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1B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2D9"/>
    <w:rsid w:val="00E41BF6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549DB"/>
    <w:rsid w:val="00E55CD5"/>
    <w:rsid w:val="00E61150"/>
    <w:rsid w:val="00E61787"/>
    <w:rsid w:val="00E61B74"/>
    <w:rsid w:val="00E64837"/>
    <w:rsid w:val="00E64E15"/>
    <w:rsid w:val="00E6577C"/>
    <w:rsid w:val="00E66962"/>
    <w:rsid w:val="00E67439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24EF"/>
    <w:rsid w:val="00EB338D"/>
    <w:rsid w:val="00EB339A"/>
    <w:rsid w:val="00EB6820"/>
    <w:rsid w:val="00EB730E"/>
    <w:rsid w:val="00EC00E2"/>
    <w:rsid w:val="00EC174E"/>
    <w:rsid w:val="00EC1C50"/>
    <w:rsid w:val="00EC1C6B"/>
    <w:rsid w:val="00EC474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07E8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5609"/>
    <w:rsid w:val="00F9765A"/>
    <w:rsid w:val="00F97C18"/>
    <w:rsid w:val="00FA0286"/>
    <w:rsid w:val="00FA283D"/>
    <w:rsid w:val="00FA3B03"/>
    <w:rsid w:val="00FA6A7E"/>
    <w:rsid w:val="00FB050D"/>
    <w:rsid w:val="00FB1304"/>
    <w:rsid w:val="00FB493A"/>
    <w:rsid w:val="00FB5E2C"/>
    <w:rsid w:val="00FB6207"/>
    <w:rsid w:val="00FB72AA"/>
    <w:rsid w:val="00FC1357"/>
    <w:rsid w:val="00FC3EBD"/>
    <w:rsid w:val="00FC3EFB"/>
    <w:rsid w:val="00FC65C4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A8A"/>
    <w:rsid w:val="00FD7B69"/>
    <w:rsid w:val="00FE3000"/>
    <w:rsid w:val="00FE3900"/>
    <w:rsid w:val="00FE4CEC"/>
    <w:rsid w:val="00FF3078"/>
    <w:rsid w:val="00FF49E8"/>
    <w:rsid w:val="00FF62AE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lstskapitals.gov.lv/l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lstskapitals.gov.lv/lv/sabiedribas-lidzdaliba/vakances-kapitalsabiedriba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alstskapitals.gov.lv/lv/datu-bazes-un-gada-parskati/gada-parskat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lstskapitals.gov.lv/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alstskapitals.gov.lv/lv/valsts-kapitalsabiedribas-un-kapitala-dalas/valsts-kapitalsabiedribas-un-kapitala-dala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lstskapitals.gov.lv/lv/vadlinij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88d83cc-a4cb-49d3-9c8d-9222e4bbbdd5"/>
    <ds:schemaRef ds:uri="4ae305c7-e755-403b-9232-db043c5777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Mētra Aržanovska</cp:lastModifiedBy>
  <cp:revision>20</cp:revision>
  <dcterms:created xsi:type="dcterms:W3CDTF">2023-11-17T08:02:00Z</dcterms:created>
  <dcterms:modified xsi:type="dcterms:W3CDTF">2023-12-19T15:53:00Z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